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微软雅黑" w:hAnsi="微软雅黑" w:eastAsia="微软雅黑"/>
          <w:b/>
          <w:bCs/>
          <w:sz w:val="36"/>
          <w:szCs w:val="44"/>
        </w:rPr>
      </w:pPr>
      <w:r>
        <w:rPr>
          <w:rFonts w:hint="eastAsia" w:ascii="微软雅黑" w:hAnsi="微软雅黑" w:eastAsia="微软雅黑"/>
          <w:b/>
          <w:bCs/>
          <w:sz w:val="36"/>
          <w:szCs w:val="44"/>
        </w:rPr>
        <w:t>贵州省装饰设计行业2020年度荣耀盛典</w:t>
      </w:r>
      <w:r>
        <w:rPr>
          <w:rFonts w:hint="eastAsia" w:ascii="微软雅黑" w:hAnsi="微软雅黑" w:eastAsia="微软雅黑"/>
          <w:b/>
          <w:bCs/>
          <w:sz w:val="36"/>
          <w:szCs w:val="44"/>
          <w:lang w:val="en-US" w:eastAsia="zh-CN"/>
        </w:rPr>
        <w:t>·新媒</w:t>
      </w:r>
      <w:r>
        <w:rPr>
          <w:rFonts w:hint="eastAsia" w:ascii="微软雅黑" w:hAnsi="微软雅黑" w:eastAsia="微软雅黑"/>
          <w:b/>
          <w:bCs/>
          <w:sz w:val="36"/>
          <w:szCs w:val="44"/>
        </w:rPr>
        <w:t>之夜</w:t>
      </w:r>
    </w:p>
    <w:p>
      <w:pPr>
        <w:spacing w:line="276" w:lineRule="auto"/>
        <w:jc w:val="center"/>
        <w:rPr>
          <w:rFonts w:ascii="微软雅黑" w:hAnsi="微软雅黑" w:eastAsia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腾讯家居、新浪家居、搜狐焦点家居、网易设计四大媒体共襄盛宴</w:t>
      </w:r>
    </w:p>
    <w:p>
      <w:pPr>
        <w:spacing w:line="276" w:lineRule="auto"/>
        <w:jc w:val="center"/>
        <w:rPr>
          <w:rFonts w:hint="default" w:ascii="微软雅黑" w:hAnsi="微软雅黑" w:eastAsia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  <w:lang w:val="en-US" w:eastAsia="zh-CN"/>
        </w:rPr>
        <w:t>腾讯家居</w:t>
      </w:r>
      <w:r>
        <w:rPr>
          <w:rFonts w:hint="default" w:ascii="微软雅黑" w:hAnsi="微软雅黑" w:eastAsia="微软雅黑"/>
          <w:b/>
          <w:bCs/>
          <w:color w:val="C00000"/>
          <w:sz w:val="32"/>
          <w:szCs w:val="40"/>
          <w:lang w:val="en-US" w:eastAsia="zh-CN"/>
        </w:rPr>
        <w:t>→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</w:rPr>
        <w:t>2020年度贵州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  <w:lang w:val="en-US" w:eastAsia="zh-CN"/>
        </w:rPr>
        <w:t>设计师推荐品牌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活动背景：</w:t>
      </w:r>
    </w:p>
    <w:p>
      <w:pPr>
        <w:pStyle w:val="6"/>
        <w:spacing w:line="360" w:lineRule="auto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向经典致敬，展潮流风向。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在</w:t>
      </w:r>
      <w:r>
        <w:rPr>
          <w:rFonts w:hint="eastAsia" w:ascii="微软雅黑" w:hAnsi="微软雅黑" w:eastAsia="微软雅黑"/>
          <w:sz w:val="18"/>
          <w:szCs w:val="18"/>
        </w:rPr>
        <w:t>聚焦新生代设计力量的崛起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的同时</w:t>
      </w:r>
      <w:r>
        <w:rPr>
          <w:rFonts w:hint="eastAsia" w:ascii="微软雅黑" w:hAnsi="微软雅黑" w:eastAsia="微软雅黑"/>
          <w:sz w:val="18"/>
          <w:szCs w:val="18"/>
        </w:rPr>
        <w:t>由设计师推荐的行业优秀品牌也同样备受关注。在室内装修设计环节中，设计师是最接近消费者的一个关键卡点，能帮助消费者迅速找到最适合的品牌和服务商，因此在整个产业链中显得至关重要。设计师对于品牌的信赖和推荐，也是连接品牌和消费者的桥梁。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同时</w:t>
      </w:r>
      <w:r>
        <w:rPr>
          <w:rFonts w:hint="eastAsia" w:ascii="微软雅黑" w:hAnsi="微软雅黑" w:eastAsia="微软雅黑"/>
          <w:sz w:val="18"/>
          <w:szCs w:val="18"/>
        </w:rPr>
        <w:t>希望品牌能与设计师共同携手，为消费者带来更为健康舒适的家居环境，以推动高品质家装的发展。</w:t>
      </w:r>
    </w:p>
    <w:p>
      <w:pPr>
        <w:pStyle w:val="6"/>
        <w:spacing w:line="360" w:lineRule="auto"/>
        <w:ind w:firstLine="360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>为了抢占20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20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设计师渠道，为更好地推动协会装饰设计的发展，展现建筑装饰业设计力量。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腾讯家居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专门为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家装品牌推出《2020年度贵州设计师推荐品牌》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，以此来增强市场号召力和影响力。</w:t>
      </w:r>
    </w:p>
    <w:p>
      <w:p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二、评选机制：</w:t>
      </w:r>
    </w:p>
    <w:p>
      <w:pPr>
        <w:spacing w:line="360" w:lineRule="auto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企业和人物参与报名并提交相关资料，主办方进行收集汇总，并发起全网票选专题，根据参选者的贡献力、影响力、创新力、生命力、环保力、技术力等多维综合评选机制，评选出符合条件的奖项。</w:t>
      </w:r>
    </w:p>
    <w:p>
      <w:p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三、组织机构：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主办单位：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腾讯</w:t>
      </w:r>
      <w:r>
        <w:rPr>
          <w:rFonts w:hint="eastAsia" w:ascii="微软雅黑" w:hAnsi="微软雅黑" w:eastAsia="微软雅黑"/>
          <w:sz w:val="18"/>
          <w:szCs w:val="18"/>
        </w:rPr>
        <w:t>家居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协办单位：贵设传媒、贵设学院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支持单位：贵州省装饰设计行业协会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支持媒体：新浪家居、搜狐焦点家居、网易设计、凤凰网家居、设计头条、今日头条</w:t>
      </w: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四、参评材料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填写报名表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提交品牌logo（AI或C</w:t>
      </w:r>
      <w:r>
        <w:rPr>
          <w:rFonts w:ascii="微软雅黑" w:hAnsi="微软雅黑" w:eastAsia="微软雅黑"/>
          <w:sz w:val="18"/>
          <w:szCs w:val="18"/>
        </w:rPr>
        <w:t>DR</w:t>
      </w:r>
      <w:r>
        <w:rPr>
          <w:rFonts w:hint="eastAsia" w:ascii="微软雅黑" w:hAnsi="微软雅黑" w:eastAsia="微软雅黑"/>
          <w:sz w:val="18"/>
          <w:szCs w:val="18"/>
        </w:rPr>
        <w:t>格式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文件以</w:t>
      </w:r>
      <w:r>
        <w:rPr>
          <w:rFonts w:hint="eastAsia" w:ascii="微软雅黑" w:hAnsi="微软雅黑" w:eastAsia="微软雅黑"/>
          <w:sz w:val="18"/>
          <w:szCs w:val="18"/>
        </w:rPr>
        <w:t>“品牌-2020贵州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设计师推荐品牌</w:t>
      </w:r>
      <w:r>
        <w:rPr>
          <w:rFonts w:hint="eastAsia" w:ascii="微软雅黑" w:hAnsi="微软雅黑" w:eastAsia="微软雅黑"/>
          <w:sz w:val="18"/>
          <w:szCs w:val="18"/>
        </w:rPr>
        <w:t>”命名，打包发送至邮箱</w:t>
      </w:r>
      <w:r>
        <w:rPr>
          <w:rFonts w:ascii="微软雅黑" w:hAnsi="微软雅黑" w:eastAsia="微软雅黑"/>
          <w:color w:val="C00000"/>
          <w:sz w:val="18"/>
          <w:szCs w:val="18"/>
        </w:rPr>
        <w:t>2079704522</w:t>
      </w:r>
      <w:r>
        <w:rPr>
          <w:rFonts w:hint="eastAsia" w:ascii="微软雅黑" w:hAnsi="微软雅黑" w:eastAsia="微软雅黑"/>
          <w:color w:val="C00000"/>
          <w:sz w:val="18"/>
          <w:szCs w:val="18"/>
        </w:rPr>
        <w:t>@</w:t>
      </w:r>
      <w:r>
        <w:rPr>
          <w:rFonts w:ascii="微软雅黑" w:hAnsi="微软雅黑" w:eastAsia="微软雅黑"/>
          <w:color w:val="C00000"/>
          <w:sz w:val="18"/>
          <w:szCs w:val="18"/>
        </w:rPr>
        <w:t>qq.com</w:t>
      </w:r>
    </w:p>
    <w:p>
      <w:pPr>
        <w:widowControl/>
        <w:jc w:val="lef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ascii="微软雅黑" w:hAnsi="微软雅黑" w:eastAsia="微软雅黑"/>
          <w:color w:val="C00000"/>
          <w:sz w:val="18"/>
          <w:szCs w:val="18"/>
        </w:rPr>
        <w:br w:type="page"/>
      </w:r>
    </w:p>
    <w:p>
      <w:pPr>
        <w:widowControl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附一：报名表</w:t>
      </w:r>
    </w:p>
    <w:tbl>
      <w:tblPr>
        <w:tblStyle w:val="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2"/>
          </w:tcPr>
          <w:p>
            <w:pPr>
              <w:widowControl/>
              <w:jc w:val="center"/>
              <w:rPr>
                <w:rFonts w:hint="eastAsia" w:ascii="微软雅黑" w:hAnsi="微软雅黑" w:eastAsia="微软雅黑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2"/>
                <w:szCs w:val="22"/>
              </w:rPr>
              <w:t>2020年度贵州</w:t>
            </w:r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eastAsia="zh-CN"/>
              </w:rPr>
              <w:t>设计师推荐品牌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品牌</w:t>
            </w:r>
          </w:p>
        </w:tc>
        <w:tc>
          <w:tcPr>
            <w:tcW w:w="8363" w:type="dxa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1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品牌介绍</w:t>
            </w:r>
          </w:p>
        </w:tc>
        <w:tc>
          <w:tcPr>
            <w:tcW w:w="836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1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参评理由</w:t>
            </w:r>
          </w:p>
        </w:tc>
        <w:tc>
          <w:tcPr>
            <w:tcW w:w="836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1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品牌产品图</w:t>
            </w:r>
          </w:p>
        </w:tc>
        <w:tc>
          <w:tcPr>
            <w:tcW w:w="836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（5-10张，数码原图）</w:t>
            </w:r>
          </w:p>
        </w:tc>
      </w:tr>
    </w:tbl>
    <w:p>
      <w:pPr>
        <w:widowControl/>
        <w:rPr>
          <w:rFonts w:ascii="微软雅黑" w:hAnsi="微软雅黑" w:eastAsia="微软雅黑"/>
          <w:sz w:val="20"/>
          <w:szCs w:val="2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63D"/>
    <w:multiLevelType w:val="multilevel"/>
    <w:tmpl w:val="097636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C6100"/>
    <w:multiLevelType w:val="singleLevel"/>
    <w:tmpl w:val="37BC61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F7ADC"/>
    <w:rsid w:val="00011CC7"/>
    <w:rsid w:val="00052941"/>
    <w:rsid w:val="00070F6E"/>
    <w:rsid w:val="00081858"/>
    <w:rsid w:val="000874E1"/>
    <w:rsid w:val="000D630C"/>
    <w:rsid w:val="000E0627"/>
    <w:rsid w:val="000F28E9"/>
    <w:rsid w:val="000F2D27"/>
    <w:rsid w:val="00156D73"/>
    <w:rsid w:val="00171E37"/>
    <w:rsid w:val="00195CC7"/>
    <w:rsid w:val="001A59F2"/>
    <w:rsid w:val="001C3D7F"/>
    <w:rsid w:val="001D4E94"/>
    <w:rsid w:val="001E4A24"/>
    <w:rsid w:val="0023790F"/>
    <w:rsid w:val="002631EC"/>
    <w:rsid w:val="00267C86"/>
    <w:rsid w:val="00286F77"/>
    <w:rsid w:val="002E395A"/>
    <w:rsid w:val="003342F3"/>
    <w:rsid w:val="00356E62"/>
    <w:rsid w:val="003661E6"/>
    <w:rsid w:val="003A2779"/>
    <w:rsid w:val="003E3F1E"/>
    <w:rsid w:val="003F380F"/>
    <w:rsid w:val="004406F6"/>
    <w:rsid w:val="00442FC9"/>
    <w:rsid w:val="00455541"/>
    <w:rsid w:val="00495734"/>
    <w:rsid w:val="004B22D0"/>
    <w:rsid w:val="004B2B56"/>
    <w:rsid w:val="004B6AB6"/>
    <w:rsid w:val="004D0622"/>
    <w:rsid w:val="004D1FA7"/>
    <w:rsid w:val="004D34E6"/>
    <w:rsid w:val="004E7C2F"/>
    <w:rsid w:val="00535698"/>
    <w:rsid w:val="005474A0"/>
    <w:rsid w:val="00552ACB"/>
    <w:rsid w:val="00567D9C"/>
    <w:rsid w:val="005D082F"/>
    <w:rsid w:val="005E2834"/>
    <w:rsid w:val="005F1F0E"/>
    <w:rsid w:val="00632467"/>
    <w:rsid w:val="006328A3"/>
    <w:rsid w:val="0066139D"/>
    <w:rsid w:val="00676C0F"/>
    <w:rsid w:val="006910B8"/>
    <w:rsid w:val="006A2449"/>
    <w:rsid w:val="006E0C53"/>
    <w:rsid w:val="007142A9"/>
    <w:rsid w:val="00725667"/>
    <w:rsid w:val="00730AE7"/>
    <w:rsid w:val="00776303"/>
    <w:rsid w:val="00783E5C"/>
    <w:rsid w:val="007A1DFA"/>
    <w:rsid w:val="007B68E5"/>
    <w:rsid w:val="007E254B"/>
    <w:rsid w:val="00826427"/>
    <w:rsid w:val="00837EDD"/>
    <w:rsid w:val="00860CCA"/>
    <w:rsid w:val="008662ED"/>
    <w:rsid w:val="00887A78"/>
    <w:rsid w:val="008D06E9"/>
    <w:rsid w:val="00950847"/>
    <w:rsid w:val="00964950"/>
    <w:rsid w:val="009820B2"/>
    <w:rsid w:val="00996F84"/>
    <w:rsid w:val="009B35C8"/>
    <w:rsid w:val="009B36CE"/>
    <w:rsid w:val="009B7748"/>
    <w:rsid w:val="009F0471"/>
    <w:rsid w:val="009F1EDE"/>
    <w:rsid w:val="00A1546C"/>
    <w:rsid w:val="00A764EF"/>
    <w:rsid w:val="00A8586A"/>
    <w:rsid w:val="00A95C2E"/>
    <w:rsid w:val="00AA38FA"/>
    <w:rsid w:val="00AD0D0A"/>
    <w:rsid w:val="00AD1C5E"/>
    <w:rsid w:val="00AE6D37"/>
    <w:rsid w:val="00AE7119"/>
    <w:rsid w:val="00B00D66"/>
    <w:rsid w:val="00B02970"/>
    <w:rsid w:val="00B11B95"/>
    <w:rsid w:val="00B147D3"/>
    <w:rsid w:val="00BC76FB"/>
    <w:rsid w:val="00BD2EC6"/>
    <w:rsid w:val="00BE0D84"/>
    <w:rsid w:val="00C032A9"/>
    <w:rsid w:val="00C07913"/>
    <w:rsid w:val="00C6578F"/>
    <w:rsid w:val="00C842FE"/>
    <w:rsid w:val="00CD248D"/>
    <w:rsid w:val="00CE5A4C"/>
    <w:rsid w:val="00CF32A1"/>
    <w:rsid w:val="00CF6EAE"/>
    <w:rsid w:val="00D0512B"/>
    <w:rsid w:val="00D10CC3"/>
    <w:rsid w:val="00D365F5"/>
    <w:rsid w:val="00D47C54"/>
    <w:rsid w:val="00D67007"/>
    <w:rsid w:val="00D67965"/>
    <w:rsid w:val="00D74CB7"/>
    <w:rsid w:val="00D811D6"/>
    <w:rsid w:val="00DA77BE"/>
    <w:rsid w:val="00DC3360"/>
    <w:rsid w:val="00DC566F"/>
    <w:rsid w:val="00DC575B"/>
    <w:rsid w:val="00DD3127"/>
    <w:rsid w:val="00E058F8"/>
    <w:rsid w:val="00E21C4E"/>
    <w:rsid w:val="00E54532"/>
    <w:rsid w:val="00E77A0A"/>
    <w:rsid w:val="00E82E33"/>
    <w:rsid w:val="00F22EC9"/>
    <w:rsid w:val="00F502DE"/>
    <w:rsid w:val="00F835AE"/>
    <w:rsid w:val="00F92019"/>
    <w:rsid w:val="00FB143E"/>
    <w:rsid w:val="00FD2526"/>
    <w:rsid w:val="00FD4E3E"/>
    <w:rsid w:val="04642185"/>
    <w:rsid w:val="0B195977"/>
    <w:rsid w:val="0C3F3E0F"/>
    <w:rsid w:val="1A654079"/>
    <w:rsid w:val="1CCE02F1"/>
    <w:rsid w:val="1E7A3D62"/>
    <w:rsid w:val="23EF1CE1"/>
    <w:rsid w:val="261B365A"/>
    <w:rsid w:val="28CA236E"/>
    <w:rsid w:val="2ECA0F90"/>
    <w:rsid w:val="38B03355"/>
    <w:rsid w:val="38D73E73"/>
    <w:rsid w:val="4F3B62E9"/>
    <w:rsid w:val="596B55F8"/>
    <w:rsid w:val="5B1A1FE3"/>
    <w:rsid w:val="617F7ADC"/>
    <w:rsid w:val="64B7366D"/>
    <w:rsid w:val="6A553ADD"/>
    <w:rsid w:val="6E433B4C"/>
    <w:rsid w:val="71C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2020-12-23T11:48:00Z</dcterms:created>
  <dc:creator>紫蛋233</dc:creator>
  <cp:lastModifiedBy>刘元</cp:lastModifiedBy>
  <cp:lastPrinted>2020-12-25T02:34:00Z</cp:lastPrinted>
  <dcterms:modified xsi:type="dcterms:W3CDTF">2020-12-26T07:38:36Z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